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FB" w:rsidRDefault="006D0AFB" w:rsidP="00033617">
      <w:pPr>
        <w:jc w:val="center"/>
        <w:rPr>
          <w:rFonts w:ascii="Roboto" w:hAnsi="Roboto" w:cs="Roboto"/>
          <w:b/>
          <w:bCs/>
          <w:color w:val="0064A3"/>
          <w:sz w:val="42"/>
          <w:szCs w:val="42"/>
        </w:rPr>
      </w:pPr>
      <w:bookmarkStart w:id="0" w:name="_GoBack"/>
      <w:bookmarkEnd w:id="0"/>
      <w:r w:rsidRPr="006D0AFB">
        <w:rPr>
          <w:rFonts w:ascii="Roboto" w:hAnsi="Roboto" w:cs="Roboto"/>
          <w:b/>
          <w:bCs/>
          <w:color w:val="0064A3"/>
          <w:sz w:val="42"/>
          <w:szCs w:val="42"/>
        </w:rPr>
        <w:t>Čestné vyhlásenie žiadateľa</w:t>
      </w:r>
    </w:p>
    <w:p w:rsidR="000532DF" w:rsidRDefault="00C20F48" w:rsidP="00C20F48">
      <w:pPr>
        <w:rPr>
          <w:rFonts w:ascii="Roboto" w:hAnsi="Roboto"/>
          <w:sz w:val="18"/>
          <w:szCs w:val="18"/>
        </w:rPr>
      </w:pPr>
      <w:r w:rsidRPr="000532DF">
        <w:rPr>
          <w:rFonts w:ascii="Roboto" w:hAnsi="Roboto"/>
          <w:sz w:val="18"/>
          <w:szCs w:val="18"/>
        </w:rPr>
        <w:t>Čestné vyhlásenie je</w:t>
      </w:r>
      <w:r w:rsidR="00033617" w:rsidRPr="000532DF">
        <w:rPr>
          <w:rFonts w:ascii="Roboto" w:hAnsi="Roboto"/>
          <w:sz w:val="18"/>
          <w:szCs w:val="18"/>
        </w:rPr>
        <w:t xml:space="preserve"> doplnením </w:t>
      </w:r>
      <w:r w:rsidRPr="000532DF">
        <w:rPr>
          <w:rFonts w:ascii="Roboto" w:hAnsi="Roboto"/>
          <w:sz w:val="18"/>
          <w:szCs w:val="18"/>
        </w:rPr>
        <w:t>Žiadosti o poskytnutie nenávratného finančného príspevku (ďalej len „</w:t>
      </w:r>
      <w:proofErr w:type="spellStart"/>
      <w:r w:rsidRPr="000532DF">
        <w:rPr>
          <w:rFonts w:ascii="Roboto" w:hAnsi="Roboto"/>
          <w:sz w:val="18"/>
          <w:szCs w:val="18"/>
        </w:rPr>
        <w:t>ŽoNFP</w:t>
      </w:r>
      <w:proofErr w:type="spellEnd"/>
      <w:r w:rsidRPr="000532DF">
        <w:rPr>
          <w:rFonts w:ascii="Roboto" w:hAnsi="Roboto"/>
          <w:sz w:val="18"/>
          <w:szCs w:val="18"/>
        </w:rPr>
        <w:t xml:space="preserve">“) s kódom </w:t>
      </w:r>
      <w:r w:rsidRPr="000532DF">
        <w:rPr>
          <w:rFonts w:ascii="Roboto" w:hAnsi="Roboto"/>
          <w:sz w:val="18"/>
          <w:szCs w:val="18"/>
          <w:highlight w:val="yellow"/>
        </w:rPr>
        <w:t>.........................</w:t>
      </w:r>
      <w:r w:rsidR="00033617" w:rsidRPr="000532DF">
        <w:rPr>
          <w:rFonts w:ascii="Roboto" w:hAnsi="Roboto"/>
          <w:sz w:val="18"/>
          <w:szCs w:val="18"/>
          <w:highlight w:val="yellow"/>
        </w:rPr>
        <w:t>....</w:t>
      </w:r>
      <w:r w:rsidRPr="000532DF">
        <w:rPr>
          <w:rFonts w:ascii="Roboto" w:hAnsi="Roboto"/>
          <w:sz w:val="18"/>
          <w:szCs w:val="18"/>
        </w:rPr>
        <w:t xml:space="preserve"> časti 15 „Čestné vyhlásenie žiadateľa“ formuláru </w:t>
      </w:r>
      <w:proofErr w:type="spellStart"/>
      <w:r w:rsidRPr="000532DF">
        <w:rPr>
          <w:rFonts w:ascii="Roboto" w:hAnsi="Roboto"/>
          <w:sz w:val="18"/>
          <w:szCs w:val="18"/>
        </w:rPr>
        <w:t>ŽoNP</w:t>
      </w:r>
      <w:proofErr w:type="spellEnd"/>
      <w:r w:rsidRPr="000532DF">
        <w:rPr>
          <w:rFonts w:ascii="Roboto" w:hAnsi="Roboto"/>
          <w:sz w:val="18"/>
          <w:szCs w:val="18"/>
        </w:rPr>
        <w:t xml:space="preserve">. </w:t>
      </w:r>
    </w:p>
    <w:p w:rsidR="00C20F48" w:rsidRPr="000532DF" w:rsidRDefault="00C20F48" w:rsidP="00C20F48">
      <w:pPr>
        <w:rPr>
          <w:rFonts w:ascii="Roboto" w:hAnsi="Roboto"/>
          <w:sz w:val="18"/>
          <w:szCs w:val="18"/>
        </w:rPr>
      </w:pPr>
      <w:r w:rsidRPr="000532DF">
        <w:rPr>
          <w:rFonts w:ascii="Roboto" w:hAnsi="Roboto"/>
          <w:sz w:val="18"/>
          <w:szCs w:val="18"/>
        </w:rPr>
        <w:t xml:space="preserve">Poskytovateľ doplnil formulár </w:t>
      </w:r>
      <w:proofErr w:type="spellStart"/>
      <w:r w:rsidRPr="000532DF">
        <w:rPr>
          <w:rFonts w:ascii="Roboto" w:hAnsi="Roboto"/>
          <w:sz w:val="18"/>
          <w:szCs w:val="18"/>
        </w:rPr>
        <w:t>ŽoNFP</w:t>
      </w:r>
      <w:proofErr w:type="spellEnd"/>
      <w:r w:rsidRPr="000532DF">
        <w:rPr>
          <w:rFonts w:ascii="Roboto" w:hAnsi="Roboto"/>
          <w:sz w:val="18"/>
          <w:szCs w:val="18"/>
        </w:rPr>
        <w:t xml:space="preserve"> v systéme ITMS2014+ v časti 15. Čestné vyhlásenie žiadateľa, bod (191) odrážka 9. v poradí o ustanovenia písm. c) a d) nižšie</w:t>
      </w:r>
      <w:r w:rsidR="00033617" w:rsidRPr="000532DF">
        <w:rPr>
          <w:rFonts w:ascii="Roboto" w:hAnsi="Roboto"/>
          <w:sz w:val="18"/>
          <w:szCs w:val="18"/>
        </w:rPr>
        <w:t xml:space="preserve"> po vyhlásení výzvy s kódom OPĽZ-PO6-SC611-2021-2,  postupom podľa časti 5 „Zmena a zrušenie výzvy“ výzvy na predkladanie </w:t>
      </w:r>
      <w:r w:rsidR="000532DF" w:rsidRPr="000532DF">
        <w:rPr>
          <w:rFonts w:ascii="Roboto" w:hAnsi="Roboto"/>
          <w:sz w:val="18"/>
          <w:szCs w:val="18"/>
        </w:rPr>
        <w:t>žiadostí o nenávratný finančný príspevok</w:t>
      </w:r>
      <w:r w:rsidR="00033617" w:rsidRPr="000532DF">
        <w:rPr>
          <w:rFonts w:ascii="Roboto" w:hAnsi="Roboto"/>
          <w:sz w:val="18"/>
          <w:szCs w:val="18"/>
        </w:rPr>
        <w:t>.</w:t>
      </w:r>
      <w:r w:rsidRPr="000532DF">
        <w:rPr>
          <w:rFonts w:ascii="Roboto" w:hAnsi="Roboto"/>
          <w:sz w:val="18"/>
          <w:szCs w:val="18"/>
        </w:rPr>
        <w:t xml:space="preserve">. Doplnenie bolo vykonané na základe zverejneného znenia prílohy č. 1  „Formulár </w:t>
      </w:r>
      <w:proofErr w:type="spellStart"/>
      <w:r w:rsidRPr="000532DF">
        <w:rPr>
          <w:rFonts w:ascii="Roboto" w:hAnsi="Roboto"/>
          <w:sz w:val="18"/>
          <w:szCs w:val="18"/>
        </w:rPr>
        <w:t>ŽoNFP</w:t>
      </w:r>
      <w:proofErr w:type="spellEnd"/>
      <w:r w:rsidRPr="000532DF">
        <w:rPr>
          <w:rFonts w:ascii="Roboto" w:hAnsi="Roboto"/>
          <w:sz w:val="18"/>
          <w:szCs w:val="18"/>
        </w:rPr>
        <w:t xml:space="preserve"> s prílohami“  výzvy s kódom OPĽZ-PO6-SC611-2021-2  zo dňa 26.11.2021.</w:t>
      </w:r>
    </w:p>
    <w:p w:rsidR="000532DF" w:rsidRDefault="000532DF" w:rsidP="00C20F48">
      <w:pPr>
        <w:rPr>
          <w:rFonts w:ascii="Roboto" w:hAnsi="Roboto"/>
          <w:sz w:val="18"/>
          <w:szCs w:val="18"/>
        </w:rPr>
      </w:pPr>
    </w:p>
    <w:p w:rsidR="00772CB5" w:rsidRPr="000532DF" w:rsidRDefault="00C20F48" w:rsidP="00C20F48">
      <w:pPr>
        <w:rPr>
          <w:rFonts w:ascii="Roboto" w:hAnsi="Roboto"/>
          <w:sz w:val="18"/>
          <w:szCs w:val="18"/>
        </w:rPr>
      </w:pPr>
      <w:r w:rsidRPr="000532DF">
        <w:rPr>
          <w:rFonts w:ascii="Roboto" w:hAnsi="Roboto"/>
          <w:sz w:val="18"/>
          <w:szCs w:val="18"/>
        </w:rPr>
        <w:t>Na základe vyššie uvedeného  j</w:t>
      </w:r>
      <w:r w:rsidR="00772CB5" w:rsidRPr="000532DF">
        <w:rPr>
          <w:rFonts w:ascii="Roboto" w:hAnsi="Roboto"/>
          <w:sz w:val="18"/>
          <w:szCs w:val="18"/>
        </w:rPr>
        <w:t xml:space="preserve">a, </w:t>
      </w:r>
      <w:proofErr w:type="spellStart"/>
      <w:r w:rsidR="00772CB5" w:rsidRPr="000532DF">
        <w:rPr>
          <w:rFonts w:ascii="Roboto" w:hAnsi="Roboto"/>
          <w:sz w:val="18"/>
          <w:szCs w:val="18"/>
        </w:rPr>
        <w:t>dolupodpísaný</w:t>
      </w:r>
      <w:proofErr w:type="spellEnd"/>
      <w:r w:rsidR="00772CB5" w:rsidRPr="000532DF">
        <w:rPr>
          <w:rFonts w:ascii="Roboto" w:hAnsi="Roboto"/>
          <w:sz w:val="18"/>
          <w:szCs w:val="18"/>
        </w:rPr>
        <w:t xml:space="preserve"> žiadateľ (štatutárny orgán žiadateľa) čestne vyhlasujem, že:</w:t>
      </w:r>
    </w:p>
    <w:p w:rsidR="006D0AFB" w:rsidRPr="000532DF" w:rsidRDefault="006D0AFB" w:rsidP="006D0AFB">
      <w:pPr>
        <w:spacing w:after="0"/>
        <w:rPr>
          <w:rFonts w:ascii="Roboto" w:hAnsi="Roboto"/>
          <w:sz w:val="18"/>
          <w:szCs w:val="18"/>
        </w:rPr>
      </w:pPr>
    </w:p>
    <w:p w:rsidR="00772CB5" w:rsidRPr="000532DF" w:rsidRDefault="00772CB5" w:rsidP="00772CB5">
      <w:pPr>
        <w:pStyle w:val="Odsekzoznamu"/>
        <w:numPr>
          <w:ilvl w:val="0"/>
          <w:numId w:val="2"/>
        </w:numPr>
        <w:spacing w:after="0"/>
        <w:ind w:left="714" w:hanging="357"/>
        <w:rPr>
          <w:rFonts w:ascii="Roboto" w:hAnsi="Roboto"/>
          <w:sz w:val="18"/>
          <w:szCs w:val="18"/>
        </w:rPr>
      </w:pPr>
      <w:r w:rsidRPr="000532DF">
        <w:rPr>
          <w:rFonts w:ascii="Roboto" w:hAnsi="Roboto" w:cstheme="minorHAnsi"/>
          <w:sz w:val="18"/>
          <w:szCs w:val="18"/>
        </w:rPr>
        <w:t>projekt je v súlade s princípmi podpory rovnosti mužov a žien a nediskriminácie podľa článku 7 nariadenia Európskeho parlamentu a Rady (EÚ) č. 1303/2013 zo 17. decembra 2013, a zabezpečím podmienky pre rovnakú dostupnosť pre všetkých, tak aby nedochádzalo k vylučovaniu ľudí na základe rodu, veku, rasy, etnika, zdravotného postihnutia a pod. a to nasledovným spôsobom</w:t>
      </w:r>
      <w:r w:rsidRPr="000532DF">
        <w:rPr>
          <w:rFonts w:ascii="Roboto" w:hAnsi="Roboto" w:cstheme="minorHAnsi"/>
          <w:sz w:val="18"/>
          <w:szCs w:val="18"/>
          <w:lang w:eastAsia="sk-SK"/>
        </w:rPr>
        <w:t xml:space="preserve">: </w:t>
      </w:r>
    </w:p>
    <w:p w:rsidR="006D0AFB" w:rsidRPr="000532DF" w:rsidRDefault="006D0AFB" w:rsidP="006D0AFB">
      <w:pPr>
        <w:spacing w:after="0"/>
        <w:rPr>
          <w:rFonts w:ascii="Roboto" w:hAnsi="Roboto"/>
          <w:sz w:val="18"/>
          <w:szCs w:val="18"/>
        </w:rPr>
      </w:pPr>
    </w:p>
    <w:p w:rsidR="006D0AFB" w:rsidRPr="000532DF" w:rsidRDefault="00C20F48" w:rsidP="00C20F48">
      <w:pPr>
        <w:spacing w:after="0"/>
        <w:ind w:left="993"/>
        <w:rPr>
          <w:rFonts w:ascii="Roboto" w:hAnsi="Roboto"/>
          <w:sz w:val="18"/>
          <w:szCs w:val="18"/>
        </w:rPr>
      </w:pPr>
      <w:r w:rsidRPr="000532DF">
        <w:rPr>
          <w:rFonts w:ascii="Roboto" w:eastAsia="Times New Roman" w:hAnsi="Roboto" w:cs="Times New Roman"/>
          <w:color w:val="000000"/>
          <w:sz w:val="18"/>
          <w:szCs w:val="18"/>
        </w:rPr>
        <w:t>a) pri realizácii stavieb, v ktorých budú zamestnávané osoby budú rešpektované platné právne predpisy   SR a v maximálnej možnej miere budú zabezpečené bezbariérové pracovné priestory  pre osoby so zdravotným postihnutím tak, aby tieto  nepredstavovali obmedzenia pre prácu osôb so zdravotným postihnutím, resp. nezakladali podmienky pre zamestnanie výlučne osôb bez zdravotného postihnutia,.</w:t>
      </w:r>
      <w:r w:rsidRPr="000532DF">
        <w:rPr>
          <w:rFonts w:ascii="Calibri" w:eastAsia="Times New Roman" w:hAnsi="Calibri" w:cs="Calibri"/>
          <w:color w:val="000000"/>
          <w:sz w:val="18"/>
          <w:szCs w:val="18"/>
        </w:rPr>
        <w:br/>
      </w:r>
      <w:r w:rsidRPr="000532DF">
        <w:rPr>
          <w:rFonts w:ascii="Calibri" w:eastAsia="Times New Roman" w:hAnsi="Calibri" w:cs="Calibri"/>
          <w:color w:val="000000"/>
          <w:sz w:val="18"/>
          <w:szCs w:val="18"/>
        </w:rPr>
        <w:br/>
      </w:r>
      <w:r w:rsidRPr="000532DF">
        <w:rPr>
          <w:rFonts w:ascii="Roboto" w:eastAsia="Times New Roman" w:hAnsi="Roboto" w:cs="Times New Roman"/>
          <w:color w:val="000000"/>
          <w:sz w:val="18"/>
          <w:szCs w:val="18"/>
        </w:rPr>
        <w:t>b) pri výbere zamestnancov v rámci realizácie projektu bude dodržaný princíp rovnosti mužov a  žien  a nediskriminácia a tieto princípy budú zohľadnené v podmienkach na výber zamestnancov,</w:t>
      </w:r>
    </w:p>
    <w:p w:rsidR="006D0AFB" w:rsidRPr="000532DF" w:rsidRDefault="006D0AFB" w:rsidP="00C20F48">
      <w:pPr>
        <w:spacing w:after="0"/>
        <w:ind w:left="993"/>
        <w:rPr>
          <w:rFonts w:ascii="Roboto" w:hAnsi="Roboto"/>
          <w:sz w:val="18"/>
          <w:szCs w:val="18"/>
        </w:rPr>
      </w:pPr>
    </w:p>
    <w:p w:rsidR="006D0AFB" w:rsidRPr="000532DF" w:rsidRDefault="006D0AFB" w:rsidP="00C20F48">
      <w:pPr>
        <w:pStyle w:val="Odsekzoznamu"/>
        <w:spacing w:after="0"/>
        <w:ind w:left="993"/>
        <w:rPr>
          <w:rFonts w:ascii="Roboto" w:hAnsi="Roboto"/>
          <w:sz w:val="18"/>
          <w:szCs w:val="18"/>
        </w:rPr>
      </w:pPr>
      <w:r w:rsidRPr="000532DF">
        <w:rPr>
          <w:rFonts w:ascii="Roboto" w:hAnsi="Roboto"/>
          <w:sz w:val="18"/>
          <w:szCs w:val="18"/>
        </w:rPr>
        <w:t>c)     pri zadávaní podmienok verejného obstarávania nebudú podmienky definované tak, aby mohlo dôjsť k nerovným príležitostiam pri výbere dodávateľa (napr. horšie možnosti pre etnické menšiny,  osoby so zdravotným postihnutím) a aby nedochádzalo k nerovnakému zaobchádzaniu pri finančnom ohodnotení (napr. nižšie mzdy žien – rodový mzdový rozdiel),</w:t>
      </w:r>
    </w:p>
    <w:p w:rsidR="00B33776" w:rsidRPr="000532DF" w:rsidRDefault="00B33776" w:rsidP="00C20F48">
      <w:pPr>
        <w:pStyle w:val="Odsekzoznamu"/>
        <w:spacing w:after="0"/>
        <w:ind w:left="993"/>
        <w:rPr>
          <w:rFonts w:ascii="Roboto" w:hAnsi="Roboto"/>
          <w:sz w:val="18"/>
          <w:szCs w:val="18"/>
        </w:rPr>
      </w:pPr>
    </w:p>
    <w:p w:rsidR="006D0AFB" w:rsidRPr="000532DF" w:rsidRDefault="006D0AFB" w:rsidP="00C20F48">
      <w:pPr>
        <w:pStyle w:val="Odsekzoznamu"/>
        <w:spacing w:before="100" w:beforeAutospacing="1" w:after="100" w:afterAutospacing="1" w:line="240" w:lineRule="auto"/>
        <w:ind w:left="993"/>
        <w:rPr>
          <w:rFonts w:ascii="Roboto" w:hAnsi="Roboto"/>
          <w:sz w:val="18"/>
          <w:szCs w:val="18"/>
        </w:rPr>
      </w:pPr>
      <w:r w:rsidRPr="000532DF">
        <w:rPr>
          <w:rFonts w:ascii="Roboto" w:hAnsi="Roboto"/>
          <w:sz w:val="18"/>
          <w:szCs w:val="18"/>
        </w:rPr>
        <w:t>d)  v rámci mzdového ohodnotenia oprávnených zamestnancov nedochádzalo k nerovnému odmeňovaniu za rovnakú prácu na základe rodu alebo príslušnosti k akejkoľvek znevýhodnenej skupine osôb.</w:t>
      </w:r>
    </w:p>
    <w:p w:rsidR="006D0AFB" w:rsidRPr="000532DF" w:rsidRDefault="006D0AFB" w:rsidP="006D0AFB">
      <w:pPr>
        <w:pStyle w:val="Odsekzoznamu"/>
        <w:spacing w:before="100" w:beforeAutospacing="1" w:after="100" w:afterAutospacing="1" w:line="240" w:lineRule="auto"/>
        <w:rPr>
          <w:rFonts w:ascii="Roboto" w:hAnsi="Roboto"/>
          <w:sz w:val="18"/>
          <w:szCs w:val="18"/>
        </w:rPr>
      </w:pPr>
    </w:p>
    <w:p w:rsidR="006D0AFB" w:rsidRDefault="006D0AFB" w:rsidP="006D0AFB">
      <w:pPr>
        <w:pStyle w:val="Odsekzoznamu"/>
        <w:spacing w:before="100" w:beforeAutospacing="1" w:after="100" w:afterAutospacing="1" w:line="240" w:lineRule="auto"/>
        <w:rPr>
          <w:rFonts w:ascii="Roboto" w:hAnsi="Roboto"/>
          <w:sz w:val="14"/>
          <w:szCs w:val="14"/>
        </w:rPr>
      </w:pPr>
    </w:p>
    <w:p w:rsidR="006D0AFB" w:rsidRDefault="006D0AFB" w:rsidP="006D0AFB">
      <w:pPr>
        <w:pStyle w:val="Odsekzoznamu"/>
        <w:spacing w:before="100" w:beforeAutospacing="1" w:after="100" w:afterAutospacing="1" w:line="240" w:lineRule="auto"/>
        <w:rPr>
          <w:rFonts w:ascii="Roboto" w:hAnsi="Roboto"/>
          <w:sz w:val="14"/>
          <w:szCs w:val="14"/>
        </w:rPr>
      </w:pPr>
    </w:p>
    <w:p w:rsidR="006D0AFB" w:rsidRDefault="006D0AFB" w:rsidP="006D0AFB">
      <w:pPr>
        <w:pStyle w:val="Odsekzoznamu"/>
        <w:spacing w:before="100" w:beforeAutospacing="1" w:after="100" w:afterAutospacing="1" w:line="240" w:lineRule="auto"/>
        <w:rPr>
          <w:rFonts w:ascii="Roboto" w:hAnsi="Roboto"/>
          <w:sz w:val="14"/>
          <w:szCs w:val="14"/>
        </w:rPr>
      </w:pPr>
    </w:p>
    <w:p w:rsidR="006D0AFB" w:rsidRDefault="006D0AFB" w:rsidP="006D0AFB">
      <w:pPr>
        <w:pStyle w:val="Odsekzoznamu"/>
        <w:spacing w:before="100" w:beforeAutospacing="1" w:after="100" w:afterAutospacing="1" w:line="240" w:lineRule="auto"/>
        <w:rPr>
          <w:rFonts w:ascii="Roboto" w:hAnsi="Roboto"/>
          <w:sz w:val="14"/>
          <w:szCs w:val="14"/>
        </w:rPr>
      </w:pPr>
    </w:p>
    <w:p w:rsidR="006D0AFB" w:rsidRDefault="006D0AFB" w:rsidP="006D0AFB">
      <w:pPr>
        <w:pStyle w:val="Odsekzoznamu"/>
        <w:spacing w:before="100" w:beforeAutospacing="1" w:after="100" w:afterAutospacing="1" w:line="240" w:lineRule="auto"/>
        <w:rPr>
          <w:rFonts w:ascii="Roboto" w:hAnsi="Roboto"/>
          <w:sz w:val="14"/>
          <w:szCs w:val="14"/>
        </w:rPr>
      </w:pPr>
    </w:p>
    <w:p w:rsidR="006D0AFB" w:rsidRDefault="006D0AFB" w:rsidP="006D0AFB">
      <w:pPr>
        <w:pStyle w:val="Odsekzoznamu"/>
        <w:spacing w:before="100" w:beforeAutospacing="1" w:after="100" w:afterAutospacing="1" w:line="240" w:lineRule="auto"/>
        <w:rPr>
          <w:rFonts w:ascii="Roboto" w:hAnsi="Roboto"/>
          <w:sz w:val="14"/>
          <w:szCs w:val="14"/>
        </w:rPr>
      </w:pPr>
    </w:p>
    <w:tbl>
      <w:tblPr>
        <w:tblStyle w:val="Mriekatabuky"/>
        <w:tblW w:w="10065"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shd w:val="clear" w:color="auto" w:fill="FFFFFF" w:themeFill="background1"/>
        <w:tblLook w:val="04A0" w:firstRow="1" w:lastRow="0" w:firstColumn="1" w:lastColumn="0" w:noHBand="0" w:noVBand="1"/>
      </w:tblPr>
      <w:tblGrid>
        <w:gridCol w:w="1560"/>
        <w:gridCol w:w="1984"/>
        <w:gridCol w:w="1985"/>
        <w:gridCol w:w="2268"/>
        <w:gridCol w:w="2268"/>
      </w:tblGrid>
      <w:tr w:rsidR="006D0AFB" w:rsidTr="00092472">
        <w:trPr>
          <w:jc w:val="center"/>
        </w:trPr>
        <w:tc>
          <w:tcPr>
            <w:tcW w:w="1560" w:type="dxa"/>
            <w:tcBorders>
              <w:top w:val="single" w:sz="4" w:space="0" w:color="BFBFBF" w:themeColor="background1" w:themeShade="BF"/>
              <w:bottom w:val="single" w:sz="4" w:space="0" w:color="auto"/>
              <w:right w:val="nil"/>
            </w:tcBorders>
            <w:shd w:val="clear" w:color="auto" w:fill="FFFFFF" w:themeFill="background1"/>
          </w:tcPr>
          <w:p w:rsidR="006D0AFB" w:rsidRPr="00665777" w:rsidRDefault="006D0AFB" w:rsidP="00092472">
            <w:pPr>
              <w:jc w:val="center"/>
              <w:rPr>
                <w:rFonts w:ascii="Roboto" w:hAnsi="Roboto"/>
                <w:b/>
                <w:sz w:val="14"/>
                <w:szCs w:val="14"/>
              </w:rPr>
            </w:pPr>
            <w:r>
              <w:rPr>
                <w:rFonts w:ascii="Roboto" w:hAnsi="Roboto"/>
                <w:b/>
                <w:sz w:val="14"/>
                <w:szCs w:val="14"/>
              </w:rPr>
              <w:t>Miesto podpisu</w:t>
            </w:r>
          </w:p>
        </w:tc>
        <w:tc>
          <w:tcPr>
            <w:tcW w:w="1984" w:type="dxa"/>
            <w:tcBorders>
              <w:top w:val="single" w:sz="4" w:space="0" w:color="BFBFBF" w:themeColor="background1" w:themeShade="BF"/>
              <w:left w:val="nil"/>
              <w:bottom w:val="single" w:sz="4" w:space="0" w:color="auto"/>
              <w:right w:val="nil"/>
            </w:tcBorders>
            <w:shd w:val="clear" w:color="auto" w:fill="FFFFFF" w:themeFill="background1"/>
          </w:tcPr>
          <w:p w:rsidR="006D0AFB" w:rsidRPr="00665777" w:rsidRDefault="006D0AFB" w:rsidP="00092472">
            <w:pPr>
              <w:jc w:val="center"/>
              <w:rPr>
                <w:rFonts w:ascii="Roboto" w:hAnsi="Roboto"/>
                <w:b/>
                <w:sz w:val="14"/>
                <w:szCs w:val="14"/>
              </w:rPr>
            </w:pPr>
            <w:r>
              <w:rPr>
                <w:rFonts w:ascii="Roboto" w:hAnsi="Roboto"/>
                <w:b/>
                <w:sz w:val="14"/>
                <w:szCs w:val="14"/>
              </w:rPr>
              <w:t>Dátum podpisu</w:t>
            </w:r>
          </w:p>
        </w:tc>
        <w:tc>
          <w:tcPr>
            <w:tcW w:w="1985" w:type="dxa"/>
            <w:tcBorders>
              <w:top w:val="single" w:sz="4" w:space="0" w:color="BFBFBF" w:themeColor="background1" w:themeShade="BF"/>
              <w:left w:val="nil"/>
              <w:bottom w:val="single" w:sz="4" w:space="0" w:color="auto"/>
              <w:right w:val="nil"/>
            </w:tcBorders>
            <w:shd w:val="clear" w:color="auto" w:fill="FFFFFF" w:themeFill="background1"/>
          </w:tcPr>
          <w:p w:rsidR="006D0AFB" w:rsidRPr="00665777" w:rsidRDefault="006D0AFB" w:rsidP="00092472">
            <w:pPr>
              <w:jc w:val="center"/>
              <w:rPr>
                <w:rFonts w:ascii="Roboto" w:hAnsi="Roboto"/>
                <w:b/>
                <w:sz w:val="14"/>
                <w:szCs w:val="14"/>
              </w:rPr>
            </w:pPr>
            <w:r>
              <w:rPr>
                <w:rFonts w:ascii="Roboto" w:hAnsi="Roboto"/>
                <w:b/>
                <w:sz w:val="14"/>
                <w:szCs w:val="14"/>
              </w:rPr>
              <w:t>Titul, meno a priezvisko štatutárneho orgánu</w:t>
            </w:r>
          </w:p>
        </w:tc>
        <w:tc>
          <w:tcPr>
            <w:tcW w:w="2268" w:type="dxa"/>
            <w:tcBorders>
              <w:top w:val="single" w:sz="4" w:space="0" w:color="BFBFBF" w:themeColor="background1" w:themeShade="BF"/>
              <w:left w:val="nil"/>
              <w:bottom w:val="single" w:sz="4" w:space="0" w:color="auto"/>
              <w:right w:val="nil"/>
            </w:tcBorders>
            <w:shd w:val="clear" w:color="auto" w:fill="FFFFFF" w:themeFill="background1"/>
          </w:tcPr>
          <w:p w:rsidR="006D0AFB" w:rsidRPr="00665777" w:rsidRDefault="006D0AFB" w:rsidP="00092472">
            <w:pPr>
              <w:jc w:val="center"/>
              <w:rPr>
                <w:rFonts w:ascii="Roboto" w:hAnsi="Roboto"/>
                <w:b/>
                <w:sz w:val="14"/>
                <w:szCs w:val="14"/>
              </w:rPr>
            </w:pPr>
            <w:r>
              <w:rPr>
                <w:rFonts w:ascii="Roboto" w:hAnsi="Roboto"/>
                <w:b/>
                <w:sz w:val="14"/>
                <w:szCs w:val="14"/>
              </w:rPr>
              <w:t>Subjekt</w:t>
            </w:r>
          </w:p>
        </w:tc>
        <w:tc>
          <w:tcPr>
            <w:tcW w:w="2268" w:type="dxa"/>
            <w:tcBorders>
              <w:top w:val="single" w:sz="4" w:space="0" w:color="BFBFBF" w:themeColor="background1" w:themeShade="BF"/>
              <w:left w:val="nil"/>
              <w:bottom w:val="single" w:sz="4" w:space="0" w:color="auto"/>
              <w:right w:val="nil"/>
            </w:tcBorders>
            <w:shd w:val="clear" w:color="auto" w:fill="FFFFFF" w:themeFill="background1"/>
          </w:tcPr>
          <w:p w:rsidR="006D0AFB" w:rsidRDefault="006D0AFB" w:rsidP="00092472">
            <w:pPr>
              <w:jc w:val="center"/>
              <w:rPr>
                <w:rFonts w:ascii="Roboto" w:hAnsi="Roboto"/>
                <w:b/>
                <w:sz w:val="14"/>
                <w:szCs w:val="14"/>
              </w:rPr>
            </w:pPr>
            <w:r>
              <w:rPr>
                <w:rFonts w:ascii="Roboto" w:hAnsi="Roboto"/>
                <w:b/>
                <w:sz w:val="14"/>
                <w:szCs w:val="14"/>
              </w:rPr>
              <w:t>Podpis</w:t>
            </w:r>
          </w:p>
        </w:tc>
      </w:tr>
    </w:tbl>
    <w:p w:rsidR="006D0AFB" w:rsidRPr="000C3706" w:rsidRDefault="006D0AFB" w:rsidP="00B33776">
      <w:pPr>
        <w:spacing w:before="100" w:beforeAutospacing="1" w:after="100" w:afterAutospacing="1"/>
        <w:ind w:left="720"/>
        <w:jc w:val="left"/>
        <w:rPr>
          <w:rFonts w:ascii="Roboto" w:hAnsi="Roboto"/>
          <w:sz w:val="14"/>
          <w:szCs w:val="14"/>
        </w:rPr>
      </w:pPr>
    </w:p>
    <w:sectPr w:rsidR="006D0AFB" w:rsidRPr="000C37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5053B"/>
    <w:multiLevelType w:val="multilevel"/>
    <w:tmpl w:val="5DA04146"/>
    <w:lvl w:ilvl="0">
      <w:start w:val="1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6647920"/>
    <w:multiLevelType w:val="multilevel"/>
    <w:tmpl w:val="343A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A25243"/>
    <w:multiLevelType w:val="multilevel"/>
    <w:tmpl w:val="1BF02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FB"/>
    <w:rsid w:val="00021A49"/>
    <w:rsid w:val="00033617"/>
    <w:rsid w:val="000532DF"/>
    <w:rsid w:val="002E02C0"/>
    <w:rsid w:val="004A1693"/>
    <w:rsid w:val="006D0AFB"/>
    <w:rsid w:val="00772CB5"/>
    <w:rsid w:val="007B1076"/>
    <w:rsid w:val="007F0DFF"/>
    <w:rsid w:val="00A278C1"/>
    <w:rsid w:val="00B33776"/>
    <w:rsid w:val="00C20F48"/>
    <w:rsid w:val="00F425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85DBB-B29A-4B63-AC55-A9DDA2D7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0AFB"/>
    <w:pPr>
      <w:spacing w:after="200" w:line="276"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enabsatz,List Paragraph,Odsek zoznamu1"/>
    <w:basedOn w:val="Normlny"/>
    <w:link w:val="OdsekzoznamuChar"/>
    <w:uiPriority w:val="34"/>
    <w:qFormat/>
    <w:rsid w:val="006D0AFB"/>
    <w:pPr>
      <w:ind w:left="720"/>
      <w:contextualSpacing/>
    </w:pPr>
  </w:style>
  <w:style w:type="character" w:customStyle="1" w:styleId="OdsekzoznamuChar">
    <w:name w:val="Odsek zoznamu Char"/>
    <w:aliases w:val="body Char,Odsek zoznamu2 Char,Listenabsatz Char,List Paragraph Char,Odsek zoznamu1 Char"/>
    <w:link w:val="Odsekzoznamu"/>
    <w:uiPriority w:val="99"/>
    <w:locked/>
    <w:rsid w:val="006D0AFB"/>
    <w:rPr>
      <w:rFonts w:ascii="Times New Roman" w:hAnsi="Times New Roman"/>
      <w:sz w:val="24"/>
    </w:rPr>
  </w:style>
  <w:style w:type="table" w:styleId="Mriekatabuky">
    <w:name w:val="Table Grid"/>
    <w:basedOn w:val="Normlnatabuka"/>
    <w:uiPriority w:val="59"/>
    <w:rsid w:val="006D0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2054</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Ľubomíra Kopcová</dc:creator>
  <cp:keywords/>
  <dc:description/>
  <cp:lastModifiedBy>Ľubomíra Kopcová</cp:lastModifiedBy>
  <cp:revision>2</cp:revision>
  <dcterms:created xsi:type="dcterms:W3CDTF">2022-01-25T10:35:00Z</dcterms:created>
  <dcterms:modified xsi:type="dcterms:W3CDTF">2022-01-25T10:35:00Z</dcterms:modified>
</cp:coreProperties>
</file>